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960" w:rsidRDefault="000A7960" w:rsidP="00550B5E">
      <w:pPr>
        <w:spacing w:before="120" w:after="120"/>
        <w:jc w:val="center"/>
        <w:rPr>
          <w:rFonts w:cs="Arial"/>
          <w:b/>
          <w:bCs/>
          <w:sz w:val="20"/>
          <w:szCs w:val="20"/>
        </w:rPr>
      </w:pPr>
      <w:bookmarkStart w:id="0" w:name="_GoBack"/>
      <w:bookmarkEnd w:id="0"/>
    </w:p>
    <w:p w:rsidR="00550B5E" w:rsidRPr="00550B5E" w:rsidRDefault="00AE199F" w:rsidP="00550B5E">
      <w:pPr>
        <w:spacing w:before="120" w:after="120"/>
        <w:jc w:val="center"/>
        <w:rPr>
          <w:rFonts w:cs="Arial"/>
          <w:b/>
          <w:bCs/>
          <w:sz w:val="20"/>
          <w:szCs w:val="20"/>
        </w:rPr>
      </w:pPr>
      <w:r w:rsidRPr="00ED2F0D">
        <w:rPr>
          <w:rFonts w:cs="Arial"/>
          <w:b/>
          <w:bCs/>
          <w:sz w:val="20"/>
          <w:szCs w:val="20"/>
        </w:rPr>
        <w:t xml:space="preserve">STATEMENT OF SERVICE REQUIREMENT FOR THE PROVISION OF </w:t>
      </w:r>
      <w:r w:rsidR="00550B5E">
        <w:rPr>
          <w:rFonts w:cs="Arial"/>
          <w:b/>
          <w:bCs/>
          <w:sz w:val="20"/>
          <w:szCs w:val="20"/>
        </w:rPr>
        <w:t xml:space="preserve">RESEARCH </w:t>
      </w:r>
      <w:r w:rsidRPr="00ED2F0D">
        <w:rPr>
          <w:rFonts w:cs="Arial"/>
          <w:b/>
          <w:bCs/>
          <w:sz w:val="20"/>
          <w:szCs w:val="20"/>
        </w:rPr>
        <w:t xml:space="preserve">SUPPORT ON </w:t>
      </w:r>
      <w:r w:rsidR="00550B5E" w:rsidRPr="00550B5E">
        <w:rPr>
          <w:rFonts w:ascii="Arial Bold" w:hAnsi="Arial Bold" w:cs="Arial"/>
          <w:b/>
          <w:bCs/>
          <w:caps/>
          <w:sz w:val="20"/>
          <w:szCs w:val="20"/>
        </w:rPr>
        <w:t>Study of local heat transfer coefficient on peripheral PWR assembly fuel in the event of touching spacer grids</w:t>
      </w:r>
    </w:p>
    <w:p w:rsidR="009B5159" w:rsidRDefault="009B5159" w:rsidP="009B5159"/>
    <w:p w:rsidR="00AE199F" w:rsidRPr="00CA2D8A" w:rsidRDefault="00AE199F" w:rsidP="00AE199F">
      <w:pPr>
        <w:pStyle w:val="TSHeadingNumbered1"/>
      </w:pPr>
      <w:r w:rsidRPr="00CA2D8A">
        <w:t>BACKGROUND TO THE PROJECT</w:t>
      </w:r>
    </w:p>
    <w:p w:rsidR="00550B5E" w:rsidRDefault="00550B5E" w:rsidP="00550B5E">
      <w:pPr>
        <w:pStyle w:val="TSNumberedParagraph11"/>
      </w:pPr>
      <w:r>
        <w:t>A significant element of the nuclear fuel design evolution is the development of the spacer grids that provide a constant flow area between the adjacent fuel pins and bind them into fuel assemblies. The fuel pins are about 4 m long and tend to bow during their irradiation in the reactor core, so that the spacer grids of two neighbouring assemblies may touch each other – closing the local flow-path and disturbing the coolant flow. This effect of Touching Spacer Grids (TSG) is mitigated to some extent by the additional turbulence created by the flow disturbance. On the other hand, the cross-flow between the assemblies is expected to reduce the impact of turbulence on the downstream fuel cooling.</w:t>
      </w:r>
    </w:p>
    <w:p w:rsidR="00550B5E" w:rsidRDefault="00550B5E" w:rsidP="00550B5E">
      <w:pPr>
        <w:pStyle w:val="TSNumberedParagraph11"/>
      </w:pPr>
      <w:r>
        <w:t>The correct prediction of PWR fuel behaviour during power-flow mismatch transients has been and remains a crucial issue for the nuclear industry. One of its important aspects is the selection of an appropriate heat flux criterion – critical heat flux (CHF) for the reactor core regions which are subject to change in the coolant flow conditions. Once established with sufficient confidence, the CHF is applied to check the over-power protection system set points. The increase of fuel burnup and the evolution spacer grids keep the definition of CHF downstream of TSG as an open issue both for the operating and new built PWRs.</w:t>
      </w:r>
    </w:p>
    <w:p w:rsidR="00550B5E" w:rsidRDefault="00550B5E" w:rsidP="00550B5E">
      <w:pPr>
        <w:pStyle w:val="TSNumberedParagraph11"/>
      </w:pPr>
      <w:r w:rsidRPr="00AE34BC">
        <w:t>EDF have commenced a programme of research in this area and ONR are monitoring progress by a</w:t>
      </w:r>
      <w:r>
        <w:t xml:space="preserve"> series of technical meetings. In order to progress towards resolution of the related regulatory issue #2885, </w:t>
      </w:r>
      <w:r w:rsidRPr="00AE34BC">
        <w:t xml:space="preserve">ONR will need to form a view on whether the results of </w:t>
      </w:r>
      <w:proofErr w:type="gramStart"/>
      <w:r w:rsidRPr="00AE34BC">
        <w:t>experimental</w:t>
      </w:r>
      <w:proofErr w:type="gramEnd"/>
      <w:r w:rsidRPr="00AE34BC">
        <w:t xml:space="preserve"> tests can be adequately scaled to reactor geometry and whether there is merit in doing two phase flow CFD analysis</w:t>
      </w:r>
      <w:r>
        <w:t xml:space="preserve">. </w:t>
      </w:r>
    </w:p>
    <w:p w:rsidR="00550B5E" w:rsidRDefault="00550B5E" w:rsidP="00550B5E">
      <w:pPr>
        <w:pStyle w:val="TSNumberedParagraph11"/>
      </w:pPr>
      <w:r>
        <w:t xml:space="preserve">The collection and analysis of the relevant information </w:t>
      </w:r>
      <w:r w:rsidRPr="006233A0">
        <w:t xml:space="preserve">requires a high level of expertise and significant time. Considering the fact the ONR specialists in this field are fully occupied with higher priority tasks, the internal discussion </w:t>
      </w:r>
      <w:r>
        <w:t>concluded that it is</w:t>
      </w:r>
      <w:r w:rsidRPr="006233A0">
        <w:t xml:space="preserve"> appropriate to assign the work to an external contractor of suitable qualification.</w:t>
      </w:r>
    </w:p>
    <w:p w:rsidR="009B5159" w:rsidRDefault="009B5159" w:rsidP="009B5159"/>
    <w:p w:rsidR="00AE199F" w:rsidRPr="00CA2D8A" w:rsidRDefault="00AE199F" w:rsidP="00AE199F">
      <w:pPr>
        <w:pStyle w:val="TSHeadingNumbered1"/>
      </w:pPr>
      <w:r w:rsidRPr="00CA2D8A">
        <w:t>SCOPE OF THE SERVICES REQUIRED</w:t>
      </w:r>
    </w:p>
    <w:p w:rsidR="00550B5E" w:rsidRPr="00A85281" w:rsidRDefault="00550B5E" w:rsidP="00550B5E">
      <w:pPr>
        <w:pStyle w:val="TSNumberedParagraph11"/>
      </w:pPr>
      <w:r>
        <w:t xml:space="preserve">Identify the base phenomena defining the CHF limit for both flow reduction and overpower fault conditions in the PWR core, considering the potential for TSG. </w:t>
      </w:r>
      <w:r w:rsidRPr="00A85281">
        <w:t xml:space="preserve">This analysis should consider the </w:t>
      </w:r>
      <w:r>
        <w:t>limitations of CHF test rigs in representing core cross-flow and assembly-periphery conditions</w:t>
      </w:r>
      <w:r w:rsidRPr="00A85281">
        <w:t>.</w:t>
      </w:r>
    </w:p>
    <w:p w:rsidR="00550B5E" w:rsidRDefault="00550B5E" w:rsidP="00550B5E">
      <w:pPr>
        <w:pStyle w:val="TSNumberedParagraph11"/>
      </w:pPr>
      <w:r>
        <w:t>Review the options (methods, tools and models) that are currently available for CHF prediction and their development status. The review should cover the practices of the leading PWR vendors, operators and fuel providers as well as independent research establishments and academic institutions.</w:t>
      </w:r>
    </w:p>
    <w:p w:rsidR="00550B5E" w:rsidRDefault="00550B5E" w:rsidP="00550B5E">
      <w:pPr>
        <w:pStyle w:val="TSNumberedParagraph11"/>
      </w:pPr>
      <w:r>
        <w:t>Recommend a reasonable strategy allowing ONR to assess the adequacy of safety margins in set points for CHF mitigation arrangements of current and new built PWRs against the criterion that protection should be demonstrated with a high level of confidence.</w:t>
      </w:r>
    </w:p>
    <w:p w:rsidR="00550B5E" w:rsidRPr="00AB4D1F" w:rsidRDefault="00550B5E" w:rsidP="00550B5E">
      <w:pPr>
        <w:pStyle w:val="TSNumberedParagraph11"/>
      </w:pPr>
      <w:r w:rsidRPr="00AB4D1F">
        <w:t xml:space="preserve">Provide </w:t>
      </w:r>
      <w:r w:rsidR="0053266D">
        <w:t>conclusions and recommendations, within the following deliverables:</w:t>
      </w:r>
    </w:p>
    <w:p w:rsidR="00550B5E" w:rsidRDefault="00550B5E" w:rsidP="00550B5E">
      <w:pPr>
        <w:pStyle w:val="TSBullet1Square"/>
      </w:pPr>
      <w:r>
        <w:lastRenderedPageBreak/>
        <w:t>One draft report, with the table of contents arranged according to the scope description.</w:t>
      </w:r>
    </w:p>
    <w:p w:rsidR="00550B5E" w:rsidRDefault="00550B5E" w:rsidP="00550B5E">
      <w:pPr>
        <w:pStyle w:val="TSBullet1Square"/>
      </w:pPr>
      <w:r>
        <w:t>One final report – based on the recommendations from the ONR’s review of the draft report.</w:t>
      </w:r>
    </w:p>
    <w:p w:rsidR="00550B5E" w:rsidRPr="00A5202E" w:rsidRDefault="0053266D" w:rsidP="0053266D">
      <w:pPr>
        <w:pStyle w:val="TSNumberedParagraph11"/>
      </w:pPr>
      <w:r>
        <w:t>ONR estimate the following c</w:t>
      </w:r>
      <w:r w:rsidR="00550B5E" w:rsidRPr="00A5202E">
        <w:t>ontract volume</w:t>
      </w:r>
      <w:r>
        <w:t>s:</w:t>
      </w:r>
    </w:p>
    <w:p w:rsidR="00550B5E" w:rsidRDefault="00550B5E" w:rsidP="00550B5E">
      <w:pPr>
        <w:pStyle w:val="TSBullet1Square"/>
      </w:pPr>
      <w:r>
        <w:t>Data collection and analysis – 18 man-days;</w:t>
      </w:r>
    </w:p>
    <w:p w:rsidR="00550B5E" w:rsidRDefault="00550B5E" w:rsidP="00550B5E">
      <w:pPr>
        <w:pStyle w:val="TSBullet1Square"/>
      </w:pPr>
      <w:r>
        <w:t>Report writing &amp; verification – 5 man-days;</w:t>
      </w:r>
    </w:p>
    <w:p w:rsidR="00550B5E" w:rsidRDefault="00550B5E" w:rsidP="00550B5E">
      <w:pPr>
        <w:pStyle w:val="TSBullet1Square"/>
      </w:pPr>
      <w:r>
        <w:t>Two meetings (kick-off &amp; close-out) – 2 man-days</w:t>
      </w:r>
      <w:r w:rsidR="0053266D">
        <w:t>.</w:t>
      </w:r>
    </w:p>
    <w:p w:rsidR="00550B5E" w:rsidRPr="00450AE7" w:rsidRDefault="0053266D" w:rsidP="0053266D">
      <w:pPr>
        <w:pStyle w:val="TSNumberedParagraph11"/>
      </w:pPr>
      <w:r>
        <w:t>ONR expect the following m</w:t>
      </w:r>
      <w:r w:rsidR="00550B5E" w:rsidRPr="00450AE7">
        <w:t xml:space="preserve">eeting requirements </w:t>
      </w:r>
      <w:r>
        <w:t>as a minimum:</w:t>
      </w:r>
    </w:p>
    <w:p w:rsidR="00550B5E" w:rsidRDefault="00550B5E" w:rsidP="00550B5E">
      <w:pPr>
        <w:pStyle w:val="TSBullet1Square"/>
      </w:pPr>
      <w:r>
        <w:t>Kick-off meeting – at Contractor’s premises – introduction of the Contractor’s team;</w:t>
      </w:r>
    </w:p>
    <w:p w:rsidR="00550B5E" w:rsidRDefault="00550B5E" w:rsidP="00550B5E">
      <w:pPr>
        <w:pStyle w:val="TSBullet1Square"/>
      </w:pPr>
      <w:r>
        <w:t xml:space="preserve">Close-out meeting – at Redgrave </w:t>
      </w:r>
      <w:r w:rsidR="0053266D">
        <w:t>C</w:t>
      </w:r>
      <w:r>
        <w:t>ourt Bootle – attendance by interested colleagues.</w:t>
      </w:r>
    </w:p>
    <w:p w:rsidR="00D75DA2" w:rsidRDefault="00D75DA2" w:rsidP="00D75DA2"/>
    <w:p w:rsidR="00D75DA2" w:rsidRPr="00CA2D8A" w:rsidRDefault="00D75DA2" w:rsidP="00D75DA2">
      <w:pPr>
        <w:pStyle w:val="TSHeadingNumbered1"/>
      </w:pPr>
      <w:r w:rsidRPr="00CA2D8A">
        <w:t>OBJECTIVES</w:t>
      </w:r>
    </w:p>
    <w:p w:rsidR="00D75DA2" w:rsidRDefault="00D9034D" w:rsidP="00D9034D">
      <w:pPr>
        <w:pStyle w:val="TSNumberedParagraph11"/>
        <w:numPr>
          <w:ilvl w:val="0"/>
          <w:numId w:val="0"/>
        </w:numPr>
        <w:ind w:left="720" w:hanging="720"/>
      </w:pPr>
      <w:r>
        <w:t>3.1</w:t>
      </w:r>
      <w:r>
        <w:tab/>
      </w:r>
      <w:r w:rsidR="00550B5E">
        <w:t>The report, traduced as a result from the contract will provide to ONR a sound basis for assessment of the CHF-related design arrangements and safety cases bot for Sizewell B and for the new build PWRs.</w:t>
      </w:r>
    </w:p>
    <w:p w:rsidR="00D75DA2" w:rsidRDefault="00D75DA2" w:rsidP="00D75DA2"/>
    <w:p w:rsidR="00D75DA2" w:rsidRPr="00D9034D" w:rsidRDefault="00D75DA2" w:rsidP="0065301E">
      <w:pPr>
        <w:pStyle w:val="TSHeadingNumbered1"/>
        <w:numPr>
          <w:ilvl w:val="0"/>
          <w:numId w:val="32"/>
        </w:numPr>
        <w:ind w:hanging="720"/>
        <w:rPr>
          <w:rFonts w:ascii="Arial" w:hAnsi="Arial" w:cs="Arial"/>
          <w:szCs w:val="22"/>
        </w:rPr>
      </w:pPr>
      <w:r w:rsidRPr="00D9034D">
        <w:rPr>
          <w:rFonts w:ascii="Arial" w:hAnsi="Arial" w:cs="Arial"/>
          <w:bCs/>
          <w:szCs w:val="22"/>
        </w:rPr>
        <w:t>CONSTRAINTS</w:t>
      </w:r>
      <w:r w:rsidRPr="00D9034D">
        <w:rPr>
          <w:rFonts w:ascii="Arial" w:hAnsi="Arial" w:cs="Arial"/>
          <w:szCs w:val="22"/>
        </w:rPr>
        <w:t xml:space="preserve"> </w:t>
      </w:r>
    </w:p>
    <w:p w:rsidR="00D75DA2" w:rsidRDefault="00D75DA2" w:rsidP="00D9034D">
      <w:pPr>
        <w:numPr>
          <w:ilvl w:val="1"/>
          <w:numId w:val="32"/>
        </w:numPr>
        <w:ind w:hanging="720"/>
      </w:pPr>
      <w:r w:rsidRPr="00D9034D">
        <w:t>Provide details of anything that may constrain the ability of potential suppliers to meet the requirement such as:</w:t>
      </w:r>
    </w:p>
    <w:p w:rsidR="00D9034D" w:rsidRPr="00D9034D" w:rsidRDefault="00D9034D" w:rsidP="00D9034D"/>
    <w:p w:rsidR="00550B5E" w:rsidRPr="00F43194" w:rsidRDefault="00550B5E" w:rsidP="00550B5E">
      <w:pPr>
        <w:pStyle w:val="TSBullet1Square"/>
      </w:pPr>
      <w:r>
        <w:t>In order to avoid conflict of interest the Contractor’s team shall not work on any project financed by the licensee (</w:t>
      </w:r>
      <w:proofErr w:type="spellStart"/>
      <w:r>
        <w:t>EdF</w:t>
      </w:r>
      <w:proofErr w:type="spellEnd"/>
      <w:r>
        <w:t>) during the project duration</w:t>
      </w:r>
      <w:r w:rsidRPr="00F43194">
        <w:t>;</w:t>
      </w:r>
    </w:p>
    <w:p w:rsidR="00550B5E" w:rsidRPr="00F43194" w:rsidRDefault="00550B5E" w:rsidP="00550B5E">
      <w:pPr>
        <w:pStyle w:val="TSBullet1Square"/>
      </w:pPr>
      <w:r>
        <w:t>The Contractor’s team leader shall have MSc or higher qualification, preferably in a nuclear-related discipline</w:t>
      </w:r>
      <w:r w:rsidRPr="00F43194">
        <w:t>;</w:t>
      </w:r>
    </w:p>
    <w:p w:rsidR="00550B5E" w:rsidRDefault="00550B5E" w:rsidP="000A7960">
      <w:pPr>
        <w:pStyle w:val="TSBullet1Square"/>
        <w:suppressAutoHyphens/>
        <w:jc w:val="both"/>
      </w:pPr>
      <w:r>
        <w:t>Security – the applicable arrangements for official-sensitive documents.</w:t>
      </w:r>
    </w:p>
    <w:p w:rsidR="00550B5E" w:rsidRPr="00F43194" w:rsidRDefault="00550B5E" w:rsidP="000A7960">
      <w:pPr>
        <w:pStyle w:val="TSBullet1Square"/>
      </w:pPr>
      <w:r>
        <w:t xml:space="preserve">The draft report shall be submitted not later than 20 working days after the kick-off meeting. The final report shall be submitted not later than 10 working days after the ONR’s review of the draft report has been sent to the Contractor by </w:t>
      </w:r>
      <w:r w:rsidR="000A7960">
        <w:t>e-</w:t>
      </w:r>
      <w:r>
        <w:t>mail;</w:t>
      </w:r>
    </w:p>
    <w:p w:rsidR="00550B5E" w:rsidRPr="00F43194" w:rsidRDefault="00550B5E" w:rsidP="000A7960">
      <w:pPr>
        <w:pStyle w:val="TSBullet1Square"/>
        <w:suppressAutoHyphens/>
        <w:jc w:val="both"/>
      </w:pPr>
      <w:r>
        <w:t>A</w:t>
      </w:r>
      <w:r w:rsidRPr="00F43194">
        <w:t>udit and documentation retention requirements</w:t>
      </w:r>
      <w:r>
        <w:t>: the Contractor shall present evidence for correct application of their own quality management system in the work performance</w:t>
      </w:r>
      <w:r w:rsidRPr="00F43194">
        <w:t>;</w:t>
      </w:r>
    </w:p>
    <w:p w:rsidR="00550B5E" w:rsidRPr="005D6676" w:rsidRDefault="00550B5E" w:rsidP="000A7960">
      <w:pPr>
        <w:pStyle w:val="TSBullet1Square"/>
        <w:suppressAutoHyphens/>
        <w:jc w:val="both"/>
      </w:pPr>
      <w:r w:rsidRPr="005D6676">
        <w:t>Confidentiality considerations– to be defined;</w:t>
      </w:r>
    </w:p>
    <w:p w:rsidR="00D75DA2" w:rsidRDefault="00D75DA2" w:rsidP="00D75DA2">
      <w:pPr>
        <w:pStyle w:val="TSBullet1Square"/>
        <w:numPr>
          <w:ilvl w:val="0"/>
          <w:numId w:val="0"/>
        </w:numPr>
        <w:ind w:left="1440"/>
      </w:pPr>
    </w:p>
    <w:p w:rsidR="00D75DA2" w:rsidRDefault="00D75DA2" w:rsidP="0065301E">
      <w:pPr>
        <w:pStyle w:val="TSHeadingNumbered1"/>
        <w:numPr>
          <w:ilvl w:val="0"/>
          <w:numId w:val="32"/>
        </w:numPr>
        <w:ind w:hanging="720"/>
      </w:pPr>
      <w:r w:rsidRPr="00207F68">
        <w:t>CONTRACT MANAGEMENT</w:t>
      </w:r>
    </w:p>
    <w:p w:rsidR="00550B5E" w:rsidRDefault="00550B5E" w:rsidP="0065301E">
      <w:pPr>
        <w:pStyle w:val="TSNumberedParagraph11"/>
        <w:numPr>
          <w:ilvl w:val="1"/>
          <w:numId w:val="32"/>
        </w:numPr>
        <w:ind w:hanging="720"/>
        <w:jc w:val="both"/>
      </w:pPr>
      <w:r w:rsidRPr="00892734">
        <w:t>ONR will require to be kept updated about progress and delivery of the required work via</w:t>
      </w:r>
      <w:r>
        <w:t xml:space="preserve"> e-mail correspondence</w:t>
      </w:r>
      <w:r w:rsidRPr="00892734">
        <w:t>.</w:t>
      </w:r>
      <w:r>
        <w:t xml:space="preserve"> A kick-off meeting will be held at Contractor’s premises for introduction of the team and discussion of the work plans in detail. A close-out meeting will be held at ONR’s office in Bootle to allow for presentation of the project results to all interested ONR specialists.</w:t>
      </w:r>
    </w:p>
    <w:p w:rsidR="00D75DA2" w:rsidRDefault="00D75DA2" w:rsidP="00D75DA2">
      <w:pPr>
        <w:pStyle w:val="TSNumberedParagraph11"/>
        <w:numPr>
          <w:ilvl w:val="0"/>
          <w:numId w:val="0"/>
        </w:numPr>
        <w:ind w:left="720"/>
      </w:pPr>
    </w:p>
    <w:p w:rsidR="0065301E" w:rsidRDefault="0065301E" w:rsidP="00D75DA2">
      <w:pPr>
        <w:pStyle w:val="TSNumberedParagraph11"/>
        <w:numPr>
          <w:ilvl w:val="0"/>
          <w:numId w:val="0"/>
        </w:numPr>
        <w:ind w:left="720"/>
      </w:pPr>
    </w:p>
    <w:p w:rsidR="0065301E" w:rsidRDefault="0065301E" w:rsidP="0065301E">
      <w:r w:rsidRPr="0065301E">
        <w:rPr>
          <w:b/>
        </w:rPr>
        <w:lastRenderedPageBreak/>
        <w:t>6</w:t>
      </w:r>
      <w:r>
        <w:t>.</w:t>
      </w:r>
      <w:r>
        <w:tab/>
      </w:r>
      <w:r w:rsidRPr="00D9034D">
        <w:rPr>
          <w:b/>
        </w:rPr>
        <w:t>TENDER SUBMISSIONS</w:t>
      </w:r>
      <w:r>
        <w:t xml:space="preserve"> </w:t>
      </w:r>
    </w:p>
    <w:p w:rsidR="0065301E" w:rsidRDefault="0065301E" w:rsidP="0065301E"/>
    <w:p w:rsidR="0065301E" w:rsidRDefault="0065301E" w:rsidP="0065301E">
      <w:r>
        <w:t>6.1</w:t>
      </w:r>
      <w:r>
        <w:tab/>
      </w:r>
      <w:r w:rsidR="0037459B">
        <w:t>To submit a compliant proposal in response to this specification, bidders must:</w:t>
      </w:r>
    </w:p>
    <w:p w:rsidR="0065301E" w:rsidRPr="004421CA" w:rsidRDefault="0065301E" w:rsidP="0065301E"/>
    <w:p w:rsidR="0037459B" w:rsidRDefault="0037459B" w:rsidP="0065301E">
      <w:pPr>
        <w:pStyle w:val="TSBullet1Square"/>
      </w:pPr>
      <w:r>
        <w:t>Clearly address all aspects of the specification (including scope, objectives and constraints);</w:t>
      </w:r>
    </w:p>
    <w:p w:rsidR="0065301E" w:rsidRDefault="0037459B" w:rsidP="0065301E">
      <w:pPr>
        <w:pStyle w:val="TSBullet1Square"/>
      </w:pPr>
      <w:r>
        <w:t>A</w:t>
      </w:r>
      <w:r w:rsidR="0065301E" w:rsidRPr="004421CA">
        <w:t xml:space="preserve"> description of how they will deliver the work and the resources they will use;</w:t>
      </w:r>
    </w:p>
    <w:p w:rsidR="00805914" w:rsidRPr="004421CA" w:rsidRDefault="00805914" w:rsidP="00805914">
      <w:pPr>
        <w:pStyle w:val="TSBullet1Square"/>
      </w:pPr>
      <w:r>
        <w:t>Details of the proposed individuals including grades and a short curriculum vitae (CV) summarising relevant experience;</w:t>
      </w:r>
    </w:p>
    <w:p w:rsidR="00805914" w:rsidRDefault="00805914" w:rsidP="0065301E">
      <w:pPr>
        <w:pStyle w:val="TSBullet1Square"/>
      </w:pPr>
      <w:r>
        <w:t>Evidence of their contacts with the international nuclear community;</w:t>
      </w:r>
    </w:p>
    <w:p w:rsidR="00805914" w:rsidRDefault="00805914" w:rsidP="0065301E">
      <w:pPr>
        <w:pStyle w:val="TSBullet1Square"/>
      </w:pPr>
      <w:r>
        <w:t>A</w:t>
      </w:r>
      <w:r w:rsidRPr="004421CA">
        <w:t xml:space="preserve"> proven track record of undertaking similar work for other customers</w:t>
      </w:r>
      <w:r>
        <w:t>;</w:t>
      </w:r>
    </w:p>
    <w:p w:rsidR="000F1F62" w:rsidRPr="004421CA" w:rsidRDefault="000F1F62" w:rsidP="0065301E">
      <w:pPr>
        <w:pStyle w:val="TSBullet1Square"/>
      </w:pPr>
      <w:r>
        <w:t>Includes a project plan and timetable covering each of the proposed tasks;</w:t>
      </w:r>
    </w:p>
    <w:p w:rsidR="0065301E" w:rsidRPr="004421CA" w:rsidRDefault="0065301E" w:rsidP="0065301E">
      <w:pPr>
        <w:pStyle w:val="TSBullet1Square"/>
      </w:pPr>
      <w:r>
        <w:t>Contractor’s</w:t>
      </w:r>
      <w:r w:rsidRPr="004421CA">
        <w:t xml:space="preserve"> arrangements for managing delivery of the work and dealing with disputes (including details of who will act as the liaison point between the contractor and ONR);</w:t>
      </w:r>
    </w:p>
    <w:p w:rsidR="0065301E" w:rsidRDefault="000F1F62" w:rsidP="0065301E">
      <w:pPr>
        <w:pStyle w:val="TSBullet1Square"/>
      </w:pPr>
      <w:r>
        <w:t>A</w:t>
      </w:r>
      <w:r w:rsidR="0037459B">
        <w:t xml:space="preserve"> detailed breakdown of all proposed costs associated with this work should be provided</w:t>
      </w:r>
      <w:r w:rsidR="0065301E" w:rsidRPr="004421CA">
        <w:t>.</w:t>
      </w:r>
    </w:p>
    <w:p w:rsidR="000F1F62" w:rsidRDefault="000F1F62" w:rsidP="0065301E">
      <w:pPr>
        <w:pStyle w:val="TSBullet1Square"/>
      </w:pPr>
      <w:r>
        <w:t>Identifies the anticipated level of engagement with ONR, including any progress meetings.</w:t>
      </w:r>
    </w:p>
    <w:p w:rsidR="0065301E" w:rsidRDefault="0065301E" w:rsidP="00D75DA2">
      <w:pPr>
        <w:pStyle w:val="TSNumberedParagraph11"/>
        <w:numPr>
          <w:ilvl w:val="0"/>
          <w:numId w:val="0"/>
        </w:numPr>
        <w:ind w:left="720"/>
      </w:pPr>
    </w:p>
    <w:sectPr w:rsidR="0065301E" w:rsidSect="000A7960">
      <w:headerReference w:type="default" r:id="rId10"/>
      <w:footerReference w:type="default" r:id="rId11"/>
      <w:headerReference w:type="first" r:id="rId12"/>
      <w:footerReference w:type="first" r:id="rId13"/>
      <w:type w:val="continuous"/>
      <w:pgSz w:w="11906" w:h="16838" w:code="9"/>
      <w:pgMar w:top="1440" w:right="1080" w:bottom="1440" w:left="1080"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D5" w:rsidRDefault="005527D5">
      <w:r>
        <w:separator/>
      </w:r>
    </w:p>
  </w:endnote>
  <w:endnote w:type="continuationSeparator" w:id="0">
    <w:p w:rsidR="005527D5" w:rsidRDefault="0055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FD5A4F">
      <w:rPr>
        <w:b/>
        <w:noProof/>
        <w:color w:val="006D68"/>
        <w:sz w:val="14"/>
        <w:szCs w:val="14"/>
      </w:rPr>
      <w:t>3</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FD5A4F">
      <w:rPr>
        <w:b/>
        <w:noProof/>
        <w:color w:val="006D68"/>
        <w:sz w:val="14"/>
        <w:szCs w:val="14"/>
      </w:rPr>
      <w:t>3</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D75DA2" w:rsidP="00B56CCE">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FD5A4F">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FD5A4F">
      <w:rPr>
        <w:b/>
        <w:noProof/>
        <w:color w:val="006D68"/>
        <w:sz w:val="14"/>
        <w:szCs w:val="14"/>
      </w:rPr>
      <w:t>3</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D5" w:rsidRDefault="005527D5">
      <w:r>
        <w:separator/>
      </w:r>
    </w:p>
  </w:footnote>
  <w:footnote w:type="continuationSeparator" w:id="0">
    <w:p w:rsidR="005527D5" w:rsidRDefault="00552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960" w:rsidRPr="000A7960" w:rsidRDefault="000A7960" w:rsidP="000A7960">
    <w:pPr>
      <w:pStyle w:val="Header"/>
      <w:jc w:val="right"/>
      <w:rPr>
        <w:b/>
        <w:sz w:val="18"/>
        <w:szCs w:val="18"/>
      </w:rPr>
    </w:pPr>
    <w:r w:rsidRPr="000A7960">
      <w:rPr>
        <w:b/>
        <w:sz w:val="18"/>
        <w:szCs w:val="18"/>
      </w:rPr>
      <w:t>ONR/T2888</w:t>
    </w:r>
  </w:p>
  <w:p w:rsidR="000A7960" w:rsidRPr="000A7960" w:rsidRDefault="000A7960" w:rsidP="000A7960">
    <w:pPr>
      <w:pStyle w:val="Header"/>
      <w:jc w:val="right"/>
      <w:rPr>
        <w:b/>
        <w:sz w:val="18"/>
        <w:szCs w:val="18"/>
      </w:rPr>
    </w:pPr>
    <w:r w:rsidRPr="000A7960">
      <w:rPr>
        <w:b/>
        <w:sz w:val="18"/>
        <w:szCs w:val="18"/>
      </w:rPr>
      <w:t xml:space="preserve">SCHEDULE A </w:t>
    </w:r>
  </w:p>
  <w:p w:rsidR="000A7960" w:rsidRPr="000A7960" w:rsidRDefault="000A7960" w:rsidP="000A79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EB0" w:rsidRPr="000A7960" w:rsidRDefault="00A25EB0" w:rsidP="00A25EB0">
    <w:pPr>
      <w:pStyle w:val="Header"/>
      <w:jc w:val="right"/>
      <w:rPr>
        <w:b/>
        <w:sz w:val="18"/>
        <w:szCs w:val="18"/>
      </w:rPr>
    </w:pPr>
    <w:r w:rsidRPr="000A7960">
      <w:rPr>
        <w:b/>
        <w:sz w:val="18"/>
        <w:szCs w:val="18"/>
      </w:rPr>
      <w:t>ONR</w:t>
    </w:r>
    <w:r w:rsidR="00FD5A4F">
      <w:rPr>
        <w:b/>
        <w:sz w:val="18"/>
        <w:szCs w:val="18"/>
      </w:rPr>
      <w:t>303</w:t>
    </w:r>
  </w:p>
  <w:p w:rsidR="00A25EB0" w:rsidRPr="000A7960" w:rsidRDefault="00A25EB0" w:rsidP="00A25EB0">
    <w:pPr>
      <w:pStyle w:val="Header"/>
      <w:jc w:val="right"/>
      <w:rPr>
        <w:b/>
        <w:sz w:val="18"/>
        <w:szCs w:val="18"/>
      </w:rPr>
    </w:pPr>
    <w:r w:rsidRPr="000A7960">
      <w:rPr>
        <w:b/>
        <w:sz w:val="18"/>
        <w:szCs w:val="18"/>
      </w:rPr>
      <w:t xml:space="preserve">SCHEDULE A </w:t>
    </w:r>
  </w:p>
  <w:p w:rsidR="00D75DA2" w:rsidRDefault="00C843B3" w:rsidP="00CA3B14">
    <w:pPr>
      <w:pStyle w:val="Header"/>
      <w:rPr>
        <w:b/>
        <w:color w:val="006D68"/>
        <w:sz w:val="14"/>
        <w:szCs w:val="14"/>
      </w:rPr>
    </w:pPr>
    <w:r>
      <w:rPr>
        <w:noProof/>
        <w:lang w:eastAsia="en-GB"/>
      </w:rPr>
      <w:drawing>
        <wp:anchor distT="288290" distB="0" distL="288290" distR="114300" simplePos="0" relativeHeight="251658240" behindDoc="0" locked="0" layoutInCell="1" allowOverlap="0" wp14:anchorId="4B399B44" wp14:editId="7C064B01">
          <wp:simplePos x="0" y="0"/>
          <wp:positionH relativeFrom="page">
            <wp:posOffset>601980</wp:posOffset>
          </wp:positionH>
          <wp:positionV relativeFrom="page">
            <wp:posOffset>564515</wp:posOffset>
          </wp:positionV>
          <wp:extent cx="6572250" cy="619125"/>
          <wp:effectExtent l="0" t="0" r="0" b="9525"/>
          <wp:wrapNone/>
          <wp:docPr id="5" name="Picture 5"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0BC3CC0"/>
    <w:multiLevelType w:val="multilevel"/>
    <w:tmpl w:val="832CB6B2"/>
    <w:lvl w:ilvl="0">
      <w:start w:val="4"/>
      <w:numFmt w:val="decimal"/>
      <w:lvlText w:val="%1."/>
      <w:lvlJc w:val="left"/>
      <w:pPr>
        <w:ind w:left="720" w:hanging="360"/>
      </w:pPr>
      <w:rPr>
        <w:rFonts w:cs="Arial"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1A5E2A"/>
    <w:multiLevelType w:val="multilevel"/>
    <w:tmpl w:val="59209C76"/>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1">
    <w:nsid w:val="291D78EB"/>
    <w:multiLevelType w:val="hybridMultilevel"/>
    <w:tmpl w:val="B560BE60"/>
    <w:lvl w:ilvl="0" w:tplc="E7CE72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6">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FC4E66"/>
    <w:multiLevelType w:val="hybridMultilevel"/>
    <w:tmpl w:val="46861842"/>
    <w:lvl w:ilvl="0" w:tplc="17102940">
      <w:start w:val="1"/>
      <w:numFmt w:val="decimal"/>
      <w:lvlText w:val="(%1)"/>
      <w:lvlJc w:val="left"/>
      <w:pPr>
        <w:ind w:left="1287" w:hanging="360"/>
      </w:pPr>
      <w:rPr>
        <w:rFonts w:hint="default"/>
      </w:rPr>
    </w:lvl>
    <w:lvl w:ilvl="1" w:tplc="1F9C2E8A">
      <w:start w:val="1"/>
      <w:numFmt w:val="bullet"/>
      <w:lvlText w:val="-"/>
      <w:lvlJc w:val="left"/>
      <w:pPr>
        <w:ind w:left="2007" w:hanging="360"/>
      </w:pPr>
      <w:rPr>
        <w:rFonts w:ascii="Arial" w:eastAsia="Times New Roman" w:hAnsi="Arial" w:cs="Arial"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9">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1">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4">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nsid w:val="705301CE"/>
    <w:multiLevelType w:val="multilevel"/>
    <w:tmpl w:val="D0EA5654"/>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70C2195C"/>
    <w:multiLevelType w:val="hybridMultilevel"/>
    <w:tmpl w:val="53009052"/>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8">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F62838"/>
    <w:multiLevelType w:val="hybridMultilevel"/>
    <w:tmpl w:val="B364A68E"/>
    <w:lvl w:ilvl="0" w:tplc="EA9AAD10">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num w:numId="1">
    <w:abstractNumId w:val="10"/>
  </w:num>
  <w:num w:numId="2">
    <w:abstractNumId w:val="30"/>
  </w:num>
  <w:num w:numId="3">
    <w:abstractNumId w:val="18"/>
  </w:num>
  <w:num w:numId="4">
    <w:abstractNumId w:val="0"/>
  </w:num>
  <w:num w:numId="5">
    <w:abstractNumId w:val="15"/>
  </w:num>
  <w:num w:numId="6">
    <w:abstractNumId w:val="28"/>
  </w:num>
  <w:num w:numId="7">
    <w:abstractNumId w:val="23"/>
  </w:num>
  <w:num w:numId="8">
    <w:abstractNumId w:val="20"/>
  </w:num>
  <w:num w:numId="9">
    <w:abstractNumId w:val="29"/>
  </w:num>
  <w:num w:numId="10">
    <w:abstractNumId w:val="2"/>
  </w:num>
  <w:num w:numId="11">
    <w:abstractNumId w:val="8"/>
  </w:num>
  <w:num w:numId="12">
    <w:abstractNumId w:val="12"/>
  </w:num>
  <w:num w:numId="13">
    <w:abstractNumId w:val="1"/>
  </w:num>
  <w:num w:numId="14">
    <w:abstractNumId w:val="21"/>
  </w:num>
  <w:num w:numId="15">
    <w:abstractNumId w:val="13"/>
  </w:num>
  <w:num w:numId="16">
    <w:abstractNumId w:val="26"/>
  </w:num>
  <w:num w:numId="17">
    <w:abstractNumId w:val="9"/>
  </w:num>
  <w:num w:numId="18">
    <w:abstractNumId w:val="19"/>
  </w:num>
  <w:num w:numId="19">
    <w:abstractNumId w:val="16"/>
  </w:num>
  <w:num w:numId="20">
    <w:abstractNumId w:val="3"/>
  </w:num>
  <w:num w:numId="21">
    <w:abstractNumId w:val="27"/>
  </w:num>
  <w:num w:numId="22">
    <w:abstractNumId w:val="5"/>
  </w:num>
  <w:num w:numId="23">
    <w:abstractNumId w:val="22"/>
  </w:num>
  <w:num w:numId="24">
    <w:abstractNumId w:val="24"/>
  </w:num>
  <w:num w:numId="25">
    <w:abstractNumId w:val="14"/>
  </w:num>
  <w:num w:numId="26">
    <w:abstractNumId w:val="6"/>
  </w:num>
  <w:num w:numId="27">
    <w:abstractNumId w:val="7"/>
  </w:num>
  <w:num w:numId="28">
    <w:abstractNumId w:val="11"/>
  </w:num>
  <w:num w:numId="29">
    <w:abstractNumId w:val="31"/>
  </w:num>
  <w:num w:numId="30">
    <w:abstractNumId w:val="17"/>
  </w:num>
  <w:num w:numId="31">
    <w:abstractNumId w:val="25"/>
  </w:num>
  <w:num w:numId="32">
    <w:abstractNumId w:val="4"/>
  </w:num>
  <w:num w:numId="33">
    <w:abstractNumId w:val="12"/>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715BD"/>
    <w:rsid w:val="00096F71"/>
    <w:rsid w:val="000A7960"/>
    <w:rsid w:val="000B1830"/>
    <w:rsid w:val="000B4E40"/>
    <w:rsid w:val="000D6244"/>
    <w:rsid w:val="000F1F62"/>
    <w:rsid w:val="00121C8F"/>
    <w:rsid w:val="00131ECC"/>
    <w:rsid w:val="00164F4F"/>
    <w:rsid w:val="001A58B1"/>
    <w:rsid w:val="001C3DB8"/>
    <w:rsid w:val="001D78A1"/>
    <w:rsid w:val="00200CB7"/>
    <w:rsid w:val="0021074A"/>
    <w:rsid w:val="00216018"/>
    <w:rsid w:val="0028011F"/>
    <w:rsid w:val="0028356A"/>
    <w:rsid w:val="00297401"/>
    <w:rsid w:val="0031706E"/>
    <w:rsid w:val="0037459B"/>
    <w:rsid w:val="003D005E"/>
    <w:rsid w:val="003E2CA6"/>
    <w:rsid w:val="003E452E"/>
    <w:rsid w:val="00473100"/>
    <w:rsid w:val="004750A2"/>
    <w:rsid w:val="00487A22"/>
    <w:rsid w:val="004A7B1B"/>
    <w:rsid w:val="004C399C"/>
    <w:rsid w:val="004F24BC"/>
    <w:rsid w:val="005322E6"/>
    <w:rsid w:val="0053266D"/>
    <w:rsid w:val="00550B5E"/>
    <w:rsid w:val="005527D5"/>
    <w:rsid w:val="005556C6"/>
    <w:rsid w:val="00562F2F"/>
    <w:rsid w:val="005A1570"/>
    <w:rsid w:val="005A5A87"/>
    <w:rsid w:val="00604F23"/>
    <w:rsid w:val="0065301E"/>
    <w:rsid w:val="006A667F"/>
    <w:rsid w:val="006B2DA6"/>
    <w:rsid w:val="006C519A"/>
    <w:rsid w:val="006F1199"/>
    <w:rsid w:val="006F5420"/>
    <w:rsid w:val="00715C62"/>
    <w:rsid w:val="0072164C"/>
    <w:rsid w:val="007B4EE0"/>
    <w:rsid w:val="007D545C"/>
    <w:rsid w:val="007F7246"/>
    <w:rsid w:val="00805914"/>
    <w:rsid w:val="00831566"/>
    <w:rsid w:val="00891423"/>
    <w:rsid w:val="008A7BDD"/>
    <w:rsid w:val="008D71E9"/>
    <w:rsid w:val="008E67CB"/>
    <w:rsid w:val="0091041C"/>
    <w:rsid w:val="009127AC"/>
    <w:rsid w:val="00932851"/>
    <w:rsid w:val="009678DE"/>
    <w:rsid w:val="009765DB"/>
    <w:rsid w:val="0098387A"/>
    <w:rsid w:val="00987AA6"/>
    <w:rsid w:val="009B5159"/>
    <w:rsid w:val="009D3CD0"/>
    <w:rsid w:val="009F1B6F"/>
    <w:rsid w:val="00A25EB0"/>
    <w:rsid w:val="00A41FDA"/>
    <w:rsid w:val="00A442D1"/>
    <w:rsid w:val="00AB2BB0"/>
    <w:rsid w:val="00AB7147"/>
    <w:rsid w:val="00AD5635"/>
    <w:rsid w:val="00AE199F"/>
    <w:rsid w:val="00B255B3"/>
    <w:rsid w:val="00B43C54"/>
    <w:rsid w:val="00B504F7"/>
    <w:rsid w:val="00B56CCE"/>
    <w:rsid w:val="00B81B18"/>
    <w:rsid w:val="00BC24ED"/>
    <w:rsid w:val="00BC5FC8"/>
    <w:rsid w:val="00C25583"/>
    <w:rsid w:val="00C75298"/>
    <w:rsid w:val="00C75A1C"/>
    <w:rsid w:val="00C843B3"/>
    <w:rsid w:val="00CA3B14"/>
    <w:rsid w:val="00CD7B5F"/>
    <w:rsid w:val="00CE5958"/>
    <w:rsid w:val="00CE6571"/>
    <w:rsid w:val="00D3061A"/>
    <w:rsid w:val="00D55197"/>
    <w:rsid w:val="00D75DA2"/>
    <w:rsid w:val="00D7747E"/>
    <w:rsid w:val="00D9034D"/>
    <w:rsid w:val="00DC6611"/>
    <w:rsid w:val="00DE4417"/>
    <w:rsid w:val="00DF3697"/>
    <w:rsid w:val="00E12A39"/>
    <w:rsid w:val="00E32F3B"/>
    <w:rsid w:val="00E87C8C"/>
    <w:rsid w:val="00E9478E"/>
    <w:rsid w:val="00E97293"/>
    <w:rsid w:val="00EA5EB4"/>
    <w:rsid w:val="00ED5F2B"/>
    <w:rsid w:val="00FD0C4A"/>
    <w:rsid w:val="00FD5A4F"/>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A9D72-F25C-49E2-8C3A-B11A0F26A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3</cp:revision>
  <cp:lastPrinted>2016-02-10T14:19:00Z</cp:lastPrinted>
  <dcterms:created xsi:type="dcterms:W3CDTF">2016-08-17T13:54:00Z</dcterms:created>
  <dcterms:modified xsi:type="dcterms:W3CDTF">2016-08-17T13:55:00Z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